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部门年度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创新与突破工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作自评表</w:t>
      </w:r>
      <w:bookmarkStart w:id="0" w:name="_GoBack"/>
      <w:bookmarkEnd w:id="0"/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部门：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成教部</w:t>
      </w:r>
    </w:p>
    <w:tbl>
      <w:tblPr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032"/>
        <w:gridCol w:w="2738"/>
        <w:gridCol w:w="1515"/>
        <w:gridCol w:w="1627"/>
        <w:gridCol w:w="1598"/>
      </w:tblGrid>
      <w:tr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50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0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开展各类社会培训达10283人次</w:t>
            </w:r>
          </w:p>
        </w:tc>
        <w:tc>
          <w:tcPr>
            <w:tcW w:w="27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100%</w:t>
            </w: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1627" w:type="dxa"/>
            <w:vMerge w:val="restar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95</w:t>
            </w:r>
          </w:p>
        </w:tc>
        <w:tc>
          <w:tcPr>
            <w:tcW w:w="159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0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7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627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0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7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627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0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7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627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>
        <w:trPr>
          <w:jc w:val="center"/>
        </w:trPr>
        <w:tc>
          <w:tcPr>
            <w:tcW w:w="64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0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73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627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9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部门负责人签字：                    部门盖章：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2018-04-11T10:25:06Z</dcterms:modified>
  <dc:title>部门年度创新与突破工作自评表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